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87" w:rsidRPr="00750652" w:rsidRDefault="00502E87" w:rsidP="00502E87">
      <w:pPr>
        <w:pStyle w:val="Style1"/>
        <w:rPr>
          <w:b w:val="0"/>
          <w:sz w:val="28"/>
          <w:szCs w:val="28"/>
        </w:rPr>
      </w:pPr>
      <w:bookmarkStart w:id="0" w:name="_Toc429984994"/>
      <w:r w:rsidRPr="00750652">
        <w:rPr>
          <w:b w:val="0"/>
          <w:sz w:val="28"/>
          <w:szCs w:val="28"/>
        </w:rPr>
        <w:t>Langues vivantes (étrangères ou régionales</w:t>
      </w:r>
      <w:bookmarkEnd w:id="0"/>
      <w:r w:rsidRPr="00750652">
        <w:rPr>
          <w:b w:val="0"/>
          <w:sz w:val="28"/>
          <w:szCs w:val="28"/>
        </w:rPr>
        <w:t>)</w:t>
      </w:r>
    </w:p>
    <w:p w:rsidR="00502E87" w:rsidRPr="004E509D" w:rsidRDefault="00502E87" w:rsidP="00502E87">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w:t>
      </w:r>
      <w:proofErr w:type="gramStart"/>
      <w:r>
        <w:rPr>
          <w:rFonts w:eastAsia="SimSun" w:cs="Calibri"/>
          <w:kern w:val="16"/>
          <w:sz w:val="20"/>
          <w:szCs w:val="20"/>
          <w:lang w:eastAsia="zh-CN" w:bidi="hi-IN"/>
        </w:rPr>
        <w:t xml:space="preserve">de </w:t>
      </w:r>
      <w:r w:rsidRPr="004E509D">
        <w:rPr>
          <w:rFonts w:eastAsia="SimSun" w:cs="Calibri"/>
          <w:kern w:val="16"/>
          <w:sz w:val="20"/>
          <w:szCs w:val="20"/>
          <w:lang w:eastAsia="zh-CN" w:bidi="hi-IN"/>
        </w:rPr>
        <w:t>A1</w:t>
      </w:r>
      <w:proofErr w:type="gramEnd"/>
      <w:r w:rsidRPr="004E509D">
        <w:rPr>
          <w:rFonts w:eastAsia="SimSun" w:cs="Calibri"/>
          <w:kern w:val="16"/>
          <w:sz w:val="20"/>
          <w:szCs w:val="20"/>
          <w:lang w:eastAsia="zh-CN" w:bidi="hi-IN"/>
        </w:rPr>
        <w:t xml:space="preserve">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502E87" w:rsidRPr="004E509D" w:rsidRDefault="00502E87" w:rsidP="00502E87">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502E87" w:rsidRPr="00F33A46" w:rsidRDefault="00502E87" w:rsidP="00502E87">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0"/>
        <w:gridCol w:w="2362"/>
      </w:tblGrid>
      <w:tr w:rsidR="00502E87" w:rsidRPr="00BC12BC" w:rsidTr="00407BF8">
        <w:tc>
          <w:tcPr>
            <w:tcW w:w="11732" w:type="dxa"/>
            <w:shd w:val="clear" w:color="auto" w:fill="DAEEF3"/>
          </w:tcPr>
          <w:p w:rsidR="00502E87" w:rsidRPr="00BC12BC" w:rsidRDefault="00502E87" w:rsidP="00407BF8">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502E87" w:rsidRPr="00BC12BC" w:rsidRDefault="00502E87" w:rsidP="00407BF8">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502E87" w:rsidRPr="004E509D" w:rsidTr="00407BF8">
        <w:tc>
          <w:tcPr>
            <w:tcW w:w="11732" w:type="dxa"/>
            <w:shd w:val="clear" w:color="auto" w:fill="DAEEF3"/>
          </w:tcPr>
          <w:p w:rsidR="00502E87" w:rsidRPr="004E509D" w:rsidRDefault="00502E87" w:rsidP="00407BF8">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502E87" w:rsidRPr="004E509D" w:rsidRDefault="00502E87" w:rsidP="00502E87">
            <w:pPr>
              <w:widowControl w:val="0"/>
              <w:numPr>
                <w:ilvl w:val="0"/>
                <w:numId w:val="1"/>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502E87" w:rsidRPr="004E509D" w:rsidRDefault="00502E87" w:rsidP="00502E87">
            <w:pPr>
              <w:widowControl w:val="0"/>
              <w:numPr>
                <w:ilvl w:val="0"/>
                <w:numId w:val="1"/>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502E87" w:rsidRPr="004E509D" w:rsidRDefault="00502E87" w:rsidP="00502E87">
            <w:pPr>
              <w:widowControl w:val="0"/>
              <w:numPr>
                <w:ilvl w:val="0"/>
                <w:numId w:val="1"/>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502E87" w:rsidRPr="004E509D" w:rsidRDefault="00502E87" w:rsidP="00407BF8">
            <w:pPr>
              <w:shd w:val="clear" w:color="auto" w:fill="DAEEF3"/>
              <w:spacing w:after="0" w:line="240" w:lineRule="auto"/>
              <w:jc w:val="center"/>
              <w:rPr>
                <w:rFonts w:cs="Calibri"/>
                <w:sz w:val="20"/>
                <w:szCs w:val="20"/>
              </w:rPr>
            </w:pPr>
            <w:r w:rsidRPr="004E509D">
              <w:rPr>
                <w:rFonts w:cs="Calibri"/>
                <w:sz w:val="20"/>
                <w:szCs w:val="20"/>
              </w:rPr>
              <w:t>1, 2</w:t>
            </w:r>
          </w:p>
        </w:tc>
      </w:tr>
      <w:tr w:rsidR="00502E87" w:rsidRPr="004E509D" w:rsidTr="00407BF8">
        <w:tc>
          <w:tcPr>
            <w:tcW w:w="11732" w:type="dxa"/>
            <w:shd w:val="clear" w:color="auto" w:fill="DAEEF3"/>
          </w:tcPr>
          <w:p w:rsidR="00502E87" w:rsidRPr="004E509D" w:rsidRDefault="00502E87" w:rsidP="00407BF8">
            <w:pPr>
              <w:shd w:val="clear" w:color="auto" w:fill="DAEEF3"/>
              <w:spacing w:after="0" w:line="240" w:lineRule="auto"/>
              <w:jc w:val="both"/>
              <w:rPr>
                <w:rFonts w:cs="Calibri"/>
                <w:sz w:val="20"/>
                <w:szCs w:val="20"/>
              </w:rPr>
            </w:pPr>
            <w:r w:rsidRPr="004E509D">
              <w:rPr>
                <w:rFonts w:cs="Calibri"/>
                <w:b/>
                <w:sz w:val="20"/>
                <w:szCs w:val="20"/>
              </w:rPr>
              <w:t>Lire et comprendre</w:t>
            </w:r>
          </w:p>
          <w:p w:rsidR="00502E87" w:rsidRPr="004E509D" w:rsidRDefault="00502E87" w:rsidP="00502E87">
            <w:pPr>
              <w:widowControl w:val="0"/>
              <w:numPr>
                <w:ilvl w:val="0"/>
                <w:numId w:val="1"/>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502E87" w:rsidRPr="004E509D" w:rsidRDefault="00502E87" w:rsidP="00502E87">
            <w:pPr>
              <w:widowControl w:val="0"/>
              <w:numPr>
                <w:ilvl w:val="0"/>
                <w:numId w:val="1"/>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502E87" w:rsidRPr="004E509D" w:rsidRDefault="00502E87" w:rsidP="00502E87">
            <w:pPr>
              <w:widowControl w:val="0"/>
              <w:numPr>
                <w:ilvl w:val="0"/>
                <w:numId w:val="1"/>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502E87" w:rsidRPr="004E509D" w:rsidRDefault="00502E87" w:rsidP="00502E87">
            <w:pPr>
              <w:widowControl w:val="0"/>
              <w:numPr>
                <w:ilvl w:val="0"/>
                <w:numId w:val="1"/>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502E87" w:rsidRPr="004E509D" w:rsidRDefault="00502E87" w:rsidP="00407BF8">
            <w:pPr>
              <w:shd w:val="clear" w:color="auto" w:fill="DAEEF3"/>
              <w:spacing w:after="0" w:line="240" w:lineRule="auto"/>
              <w:jc w:val="center"/>
              <w:rPr>
                <w:rFonts w:cs="Calibri"/>
                <w:sz w:val="20"/>
                <w:szCs w:val="20"/>
              </w:rPr>
            </w:pPr>
            <w:r w:rsidRPr="004E509D">
              <w:rPr>
                <w:rFonts w:cs="Calibri"/>
                <w:sz w:val="20"/>
                <w:szCs w:val="20"/>
              </w:rPr>
              <w:t>1, 2</w:t>
            </w:r>
          </w:p>
        </w:tc>
      </w:tr>
      <w:tr w:rsidR="00502E87" w:rsidRPr="004E509D" w:rsidTr="00407BF8">
        <w:tc>
          <w:tcPr>
            <w:tcW w:w="11732" w:type="dxa"/>
            <w:shd w:val="clear" w:color="auto" w:fill="DAEEF3"/>
          </w:tcPr>
          <w:p w:rsidR="00502E87" w:rsidRPr="004E509D" w:rsidRDefault="00502E87" w:rsidP="00407BF8">
            <w:pPr>
              <w:shd w:val="clear" w:color="auto" w:fill="DAEEF3"/>
              <w:spacing w:after="0" w:line="240" w:lineRule="auto"/>
              <w:jc w:val="both"/>
              <w:rPr>
                <w:rFonts w:cs="Calibri"/>
                <w:b/>
                <w:sz w:val="20"/>
                <w:szCs w:val="20"/>
              </w:rPr>
            </w:pPr>
            <w:r w:rsidRPr="004E509D">
              <w:rPr>
                <w:rFonts w:cs="Calibri"/>
                <w:b/>
                <w:sz w:val="20"/>
                <w:szCs w:val="20"/>
              </w:rPr>
              <w:t>Parler en continu</w:t>
            </w:r>
          </w:p>
          <w:p w:rsidR="00502E87" w:rsidRPr="004E509D" w:rsidRDefault="00502E87" w:rsidP="00502E87">
            <w:pPr>
              <w:widowControl w:val="0"/>
              <w:numPr>
                <w:ilvl w:val="0"/>
                <w:numId w:val="3"/>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502E87" w:rsidRPr="004E509D" w:rsidRDefault="00502E87" w:rsidP="00502E87">
            <w:pPr>
              <w:widowControl w:val="0"/>
              <w:numPr>
                <w:ilvl w:val="0"/>
                <w:numId w:val="3"/>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502E87" w:rsidRPr="004E509D" w:rsidRDefault="00502E87" w:rsidP="00502E87">
            <w:pPr>
              <w:widowControl w:val="0"/>
              <w:numPr>
                <w:ilvl w:val="0"/>
                <w:numId w:val="1"/>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502E87" w:rsidRPr="004E509D" w:rsidRDefault="00502E87" w:rsidP="00407BF8">
            <w:pPr>
              <w:shd w:val="clear" w:color="auto" w:fill="DAEEF3"/>
              <w:spacing w:after="0" w:line="240" w:lineRule="auto"/>
              <w:jc w:val="center"/>
              <w:rPr>
                <w:rFonts w:cs="Calibri"/>
                <w:sz w:val="20"/>
                <w:szCs w:val="20"/>
              </w:rPr>
            </w:pPr>
            <w:r w:rsidRPr="004E509D">
              <w:rPr>
                <w:rFonts w:cs="Calibri"/>
                <w:sz w:val="20"/>
                <w:szCs w:val="20"/>
              </w:rPr>
              <w:t>1, 2, 3</w:t>
            </w:r>
          </w:p>
        </w:tc>
      </w:tr>
      <w:tr w:rsidR="00502E87" w:rsidRPr="004E509D" w:rsidTr="00407BF8">
        <w:tc>
          <w:tcPr>
            <w:tcW w:w="11732" w:type="dxa"/>
            <w:shd w:val="clear" w:color="auto" w:fill="DAEEF3"/>
          </w:tcPr>
          <w:p w:rsidR="00502E87" w:rsidRPr="004E509D" w:rsidRDefault="00502E87" w:rsidP="00407BF8">
            <w:pPr>
              <w:shd w:val="clear" w:color="auto" w:fill="DAEEF3"/>
              <w:spacing w:after="0" w:line="240" w:lineRule="auto"/>
              <w:jc w:val="both"/>
              <w:rPr>
                <w:rFonts w:cs="Calibri"/>
                <w:b/>
                <w:sz w:val="20"/>
                <w:szCs w:val="20"/>
              </w:rPr>
            </w:pPr>
            <w:r w:rsidRPr="004E509D">
              <w:rPr>
                <w:rFonts w:cs="Calibri"/>
                <w:b/>
                <w:sz w:val="20"/>
                <w:szCs w:val="20"/>
              </w:rPr>
              <w:t>Écrire</w:t>
            </w:r>
          </w:p>
          <w:p w:rsidR="00502E87" w:rsidRPr="004E509D" w:rsidRDefault="00502E87" w:rsidP="00502E87">
            <w:pPr>
              <w:widowControl w:val="0"/>
              <w:numPr>
                <w:ilvl w:val="0"/>
                <w:numId w:val="5"/>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502E87" w:rsidRPr="004E509D" w:rsidRDefault="00502E87" w:rsidP="00502E87">
            <w:pPr>
              <w:widowControl w:val="0"/>
              <w:numPr>
                <w:ilvl w:val="0"/>
                <w:numId w:val="5"/>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502E87" w:rsidRPr="004E509D" w:rsidRDefault="00502E87" w:rsidP="00407BF8">
            <w:pPr>
              <w:shd w:val="clear" w:color="auto" w:fill="DAEEF3"/>
              <w:spacing w:after="0" w:line="240" w:lineRule="auto"/>
              <w:jc w:val="center"/>
              <w:rPr>
                <w:rFonts w:cs="Calibri"/>
                <w:sz w:val="20"/>
                <w:szCs w:val="20"/>
              </w:rPr>
            </w:pPr>
            <w:r>
              <w:rPr>
                <w:rFonts w:cs="Calibri"/>
                <w:sz w:val="20"/>
                <w:szCs w:val="20"/>
              </w:rPr>
              <w:t>1, 2, 3</w:t>
            </w:r>
          </w:p>
        </w:tc>
      </w:tr>
      <w:tr w:rsidR="00502E87" w:rsidRPr="004E509D" w:rsidTr="00407BF8">
        <w:tc>
          <w:tcPr>
            <w:tcW w:w="11732" w:type="dxa"/>
            <w:shd w:val="clear" w:color="auto" w:fill="DAEEF3"/>
          </w:tcPr>
          <w:p w:rsidR="00502E87" w:rsidRPr="004E509D" w:rsidRDefault="00502E87" w:rsidP="00407BF8">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502E87" w:rsidRPr="004E509D" w:rsidRDefault="00502E87" w:rsidP="00502E87">
            <w:pPr>
              <w:widowControl w:val="0"/>
              <w:numPr>
                <w:ilvl w:val="0"/>
                <w:numId w:val="4"/>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502E87" w:rsidRPr="004E509D" w:rsidRDefault="00502E87" w:rsidP="00502E87">
            <w:pPr>
              <w:widowControl w:val="0"/>
              <w:numPr>
                <w:ilvl w:val="0"/>
                <w:numId w:val="4"/>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502E87" w:rsidRPr="004E509D" w:rsidRDefault="00502E87" w:rsidP="00502E87">
            <w:pPr>
              <w:widowControl w:val="0"/>
              <w:numPr>
                <w:ilvl w:val="0"/>
                <w:numId w:val="4"/>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502E87" w:rsidRPr="004E509D" w:rsidRDefault="00502E87" w:rsidP="00407BF8">
            <w:pPr>
              <w:shd w:val="clear" w:color="auto" w:fill="DAEEF3"/>
              <w:spacing w:after="0" w:line="240" w:lineRule="auto"/>
              <w:jc w:val="center"/>
              <w:rPr>
                <w:rFonts w:cs="Calibri"/>
                <w:sz w:val="20"/>
                <w:szCs w:val="20"/>
              </w:rPr>
            </w:pPr>
            <w:r w:rsidRPr="004E509D">
              <w:rPr>
                <w:rFonts w:cs="Calibri"/>
                <w:sz w:val="20"/>
                <w:szCs w:val="20"/>
              </w:rPr>
              <w:t>1, 2</w:t>
            </w:r>
          </w:p>
        </w:tc>
      </w:tr>
      <w:tr w:rsidR="00502E87" w:rsidRPr="004E509D" w:rsidTr="00407BF8">
        <w:trPr>
          <w:trHeight w:val="889"/>
        </w:trPr>
        <w:tc>
          <w:tcPr>
            <w:tcW w:w="11732" w:type="dxa"/>
            <w:shd w:val="clear" w:color="auto" w:fill="DAEEF3"/>
          </w:tcPr>
          <w:p w:rsidR="00502E87" w:rsidRPr="004E509D" w:rsidRDefault="00502E87" w:rsidP="00407BF8">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502E87" w:rsidRPr="004E509D" w:rsidRDefault="00502E87" w:rsidP="00502E87">
            <w:pPr>
              <w:widowControl w:val="0"/>
              <w:numPr>
                <w:ilvl w:val="0"/>
                <w:numId w:val="1"/>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502E87" w:rsidRPr="004E509D" w:rsidRDefault="00502E87" w:rsidP="00502E87">
            <w:pPr>
              <w:widowControl w:val="0"/>
              <w:numPr>
                <w:ilvl w:val="0"/>
                <w:numId w:val="1"/>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502E87" w:rsidRPr="004E509D" w:rsidRDefault="00502E87" w:rsidP="00407BF8">
            <w:pPr>
              <w:shd w:val="clear" w:color="auto" w:fill="DAEEF3"/>
              <w:spacing w:after="0" w:line="240" w:lineRule="auto"/>
              <w:jc w:val="center"/>
              <w:rPr>
                <w:rFonts w:cs="Calibri"/>
                <w:sz w:val="20"/>
                <w:szCs w:val="20"/>
              </w:rPr>
            </w:pPr>
            <w:r w:rsidRPr="004E509D">
              <w:rPr>
                <w:rFonts w:cs="Calibri"/>
                <w:sz w:val="20"/>
                <w:szCs w:val="20"/>
              </w:rPr>
              <w:t>1, 2, 3, 5</w:t>
            </w:r>
          </w:p>
        </w:tc>
      </w:tr>
    </w:tbl>
    <w:p w:rsidR="00502E87" w:rsidRDefault="00502E87" w:rsidP="00502E87">
      <w:pPr>
        <w:widowControl w:val="0"/>
        <w:suppressAutoHyphens/>
        <w:spacing w:after="0" w:line="240" w:lineRule="auto"/>
        <w:rPr>
          <w:rFonts w:eastAsia="SimSun" w:cs="Calibri"/>
          <w:b/>
          <w:bCs/>
          <w:kern w:val="16"/>
          <w:sz w:val="20"/>
          <w:szCs w:val="20"/>
          <w:lang w:eastAsia="zh-CN" w:bidi="hi-IN"/>
        </w:rPr>
      </w:pPr>
    </w:p>
    <w:p w:rsidR="00502E87"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F33A46"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BC12BC" w:rsidRDefault="00502E87" w:rsidP="00502E87">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502E87" w:rsidRPr="00F33A46"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49523A" w:rsidRDefault="00502E87" w:rsidP="00502E87">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502E87" w:rsidRPr="00F33A46" w:rsidRDefault="00502E87" w:rsidP="00502E8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365"/>
        <w:gridCol w:w="5211"/>
      </w:tblGrid>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lastRenderedPageBreak/>
              <w:t>Niveau A1 (niveau introductif ou de découverte) :</w:t>
            </w:r>
          </w:p>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502E87" w:rsidRPr="004E509D" w:rsidRDefault="00502E87" w:rsidP="00407BF8">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502E87" w:rsidRPr="004E509D" w:rsidTr="00407BF8">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502E87" w:rsidRPr="004E509D" w:rsidTr="00407BF8">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502E87" w:rsidRPr="004E509D" w:rsidRDefault="00502E87" w:rsidP="00407BF8">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502E87" w:rsidRPr="004E509D" w:rsidTr="00407BF8">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502E87" w:rsidRPr="005951A8" w:rsidRDefault="00502E87" w:rsidP="00502E87">
            <w:pPr>
              <w:pStyle w:val="Liste"/>
              <w:numPr>
                <w:ilvl w:val="0"/>
                <w:numId w:val="1"/>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 xml:space="preserve">Le ou les locuteurs </w:t>
            </w:r>
            <w:proofErr w:type="gramStart"/>
            <w:r w:rsidRPr="005951A8">
              <w:rPr>
                <w:sz w:val="20"/>
                <w:szCs w:val="20"/>
                <w:lang w:eastAsia="zh-CN" w:bidi="hi-IN"/>
              </w:rPr>
              <w:t>parle(</w:t>
            </w:r>
            <w:proofErr w:type="gramEnd"/>
            <w:r w:rsidRPr="005951A8">
              <w:rPr>
                <w:sz w:val="20"/>
                <w:szCs w:val="20"/>
                <w:lang w:eastAsia="zh-CN" w:bidi="hi-IN"/>
              </w:rPr>
              <w:t>nt) lentement et distinctement.</w:t>
            </w:r>
          </w:p>
          <w:p w:rsidR="00502E87" w:rsidRPr="005951A8" w:rsidRDefault="00502E87" w:rsidP="00502E87">
            <w:pPr>
              <w:pStyle w:val="Liste"/>
              <w:numPr>
                <w:ilvl w:val="0"/>
                <w:numId w:val="1"/>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502E87" w:rsidRPr="005951A8" w:rsidRDefault="00502E87" w:rsidP="00502E87">
            <w:pPr>
              <w:pStyle w:val="Liste"/>
              <w:numPr>
                <w:ilvl w:val="0"/>
                <w:numId w:val="1"/>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502E87" w:rsidRPr="005951A8" w:rsidRDefault="00502E87" w:rsidP="00502E87">
            <w:pPr>
              <w:pStyle w:val="Liste"/>
              <w:numPr>
                <w:ilvl w:val="0"/>
                <w:numId w:val="1"/>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502E87" w:rsidRPr="008D6D69" w:rsidRDefault="00502E87" w:rsidP="00502E87">
            <w:pPr>
              <w:pStyle w:val="Liste"/>
              <w:numPr>
                <w:ilvl w:val="0"/>
                <w:numId w:val="1"/>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502E87" w:rsidRPr="005951A8" w:rsidRDefault="00502E87" w:rsidP="00502E87">
            <w:pPr>
              <w:pStyle w:val="Liste"/>
              <w:numPr>
                <w:ilvl w:val="0"/>
                <w:numId w:val="1"/>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 ou les locuteurs </w:t>
            </w:r>
            <w:proofErr w:type="gramStart"/>
            <w:r w:rsidRPr="005951A8">
              <w:rPr>
                <w:i/>
                <w:sz w:val="20"/>
                <w:szCs w:val="20"/>
                <w:lang w:eastAsia="zh-CN" w:bidi="hi-IN"/>
              </w:rPr>
              <w:t>parle(</w:t>
            </w:r>
            <w:proofErr w:type="gramEnd"/>
            <w:r w:rsidRPr="005951A8">
              <w:rPr>
                <w:i/>
                <w:sz w:val="20"/>
                <w:szCs w:val="20"/>
                <w:lang w:eastAsia="zh-CN" w:bidi="hi-IN"/>
              </w:rPr>
              <w:t>nt) clairement et simplement.</w:t>
            </w:r>
          </w:p>
          <w:p w:rsidR="00502E87" w:rsidRPr="005951A8" w:rsidRDefault="00502E87" w:rsidP="00502E87">
            <w:pPr>
              <w:pStyle w:val="Liste"/>
              <w:numPr>
                <w:ilvl w:val="0"/>
                <w:numId w:val="1"/>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502E87" w:rsidRPr="005951A8" w:rsidRDefault="00502E87" w:rsidP="00502E87">
            <w:pPr>
              <w:pStyle w:val="Liste"/>
              <w:numPr>
                <w:ilvl w:val="0"/>
                <w:numId w:val="1"/>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502E87" w:rsidRPr="005951A8" w:rsidRDefault="00502E87" w:rsidP="00502E87">
            <w:pPr>
              <w:pStyle w:val="Liste"/>
              <w:numPr>
                <w:ilvl w:val="0"/>
                <w:numId w:val="1"/>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502E87" w:rsidRPr="005951A8" w:rsidRDefault="00502E87" w:rsidP="00407BF8">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502E87" w:rsidRPr="00F33A46"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49523A" w:rsidRDefault="00502E87" w:rsidP="00502E87">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502E87" w:rsidRDefault="00502E87" w:rsidP="00502E8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365"/>
        <w:gridCol w:w="5211"/>
      </w:tblGrid>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502E87" w:rsidRPr="004E509D" w:rsidRDefault="00502E87" w:rsidP="00407BF8">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502E87" w:rsidRPr="004E509D" w:rsidRDefault="00502E87" w:rsidP="00407BF8">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502E87" w:rsidRPr="004E509D" w:rsidTr="00407BF8">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502E87" w:rsidRPr="004E509D" w:rsidTr="00407BF8">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lastRenderedPageBreak/>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730210"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proofErr w:type="spellStart"/>
            <w:r w:rsidRPr="004E509D">
              <w:rPr>
                <w:rFonts w:eastAsia="SimSun" w:cs="Calibri"/>
                <w:b/>
                <w:bCs/>
                <w:kern w:val="16"/>
                <w:sz w:val="20"/>
                <w:szCs w:val="20"/>
                <w:lang w:eastAsia="zh-CN" w:bidi="hi-IN"/>
              </w:rPr>
              <w:t>paratextuels</w:t>
            </w:r>
            <w:proofErr w:type="spellEnd"/>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502E87" w:rsidRPr="004E509D" w:rsidTr="00407BF8">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502E87" w:rsidRPr="00D43C77" w:rsidRDefault="00502E87" w:rsidP="00502E87">
            <w:pPr>
              <w:pStyle w:val="Liste"/>
              <w:numPr>
                <w:ilvl w:val="0"/>
                <w:numId w:val="1"/>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502E87" w:rsidRPr="00D43C77" w:rsidRDefault="00502E87" w:rsidP="00502E87">
            <w:pPr>
              <w:pStyle w:val="Liste"/>
              <w:numPr>
                <w:ilvl w:val="0"/>
                <w:numId w:val="1"/>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502E87" w:rsidRPr="00D43C77" w:rsidRDefault="00502E87" w:rsidP="00407BF8">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502E87" w:rsidRPr="00D43C77" w:rsidRDefault="00502E87" w:rsidP="00407BF8">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502E87" w:rsidRPr="00D43C77" w:rsidRDefault="00502E87" w:rsidP="00502E87">
            <w:pPr>
              <w:pStyle w:val="Liste"/>
              <w:numPr>
                <w:ilvl w:val="0"/>
                <w:numId w:val="1"/>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502E87" w:rsidRPr="00D43C77" w:rsidRDefault="00502E87" w:rsidP="00407BF8">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502E87" w:rsidRPr="005951A8" w:rsidRDefault="00502E87" w:rsidP="00407BF8">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502E87"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49523A" w:rsidRDefault="00502E87" w:rsidP="00502E87">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502E87" w:rsidRDefault="00502E87" w:rsidP="00502E8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365"/>
        <w:gridCol w:w="5211"/>
      </w:tblGrid>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502E87" w:rsidRPr="00F82F13" w:rsidRDefault="00502E87" w:rsidP="00407BF8">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502E87" w:rsidRPr="004E509D" w:rsidRDefault="00502E87" w:rsidP="00407BF8">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502E87" w:rsidRPr="004E509D" w:rsidTr="00407BF8">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502E87" w:rsidRPr="004E509D" w:rsidTr="00407BF8">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502E87" w:rsidRPr="00730210"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502E87" w:rsidRPr="00AB7EDC"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502E87" w:rsidRPr="004E509D" w:rsidTr="00407BF8">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502E87" w:rsidRPr="00F82F13" w:rsidRDefault="00502E87" w:rsidP="00502E87">
            <w:pPr>
              <w:pStyle w:val="Liste"/>
              <w:numPr>
                <w:ilvl w:val="0"/>
                <w:numId w:val="1"/>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502E87" w:rsidRPr="00F82F13" w:rsidRDefault="00502E87" w:rsidP="00407BF8">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502E87" w:rsidRPr="00F82F13" w:rsidRDefault="00502E87" w:rsidP="00407BF8">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Les aides visuelles utilisées sont très explicites.</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Les énoncés sont factuels.</w:t>
            </w:r>
          </w:p>
          <w:p w:rsidR="00502E87" w:rsidRPr="00D43C77" w:rsidRDefault="00502E87" w:rsidP="00407BF8">
            <w:pPr>
              <w:pStyle w:val="Liste"/>
              <w:spacing w:after="0" w:line="240" w:lineRule="auto"/>
              <w:rPr>
                <w:sz w:val="20"/>
                <w:szCs w:val="20"/>
                <w:lang w:eastAsia="zh-CN" w:bidi="hi-IN"/>
              </w:rPr>
            </w:pP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502E87" w:rsidRPr="00730210" w:rsidRDefault="00502E87" w:rsidP="00407BF8">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502E87" w:rsidRPr="00730210" w:rsidRDefault="00502E87" w:rsidP="00502E87">
            <w:pPr>
              <w:pStyle w:val="Liste"/>
              <w:numPr>
                <w:ilvl w:val="0"/>
                <w:numId w:val="1"/>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502E87" w:rsidRPr="00730210" w:rsidRDefault="00502E87" w:rsidP="00502E87">
            <w:pPr>
              <w:pStyle w:val="Liste"/>
              <w:numPr>
                <w:ilvl w:val="0"/>
                <w:numId w:val="1"/>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502E87" w:rsidRPr="00730210" w:rsidRDefault="00502E87" w:rsidP="00502E87">
            <w:pPr>
              <w:pStyle w:val="Liste"/>
              <w:numPr>
                <w:ilvl w:val="0"/>
                <w:numId w:val="1"/>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502E87" w:rsidRPr="00D43C77" w:rsidRDefault="00502E87" w:rsidP="00407BF8">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502E87" w:rsidRPr="004E509D"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49523A" w:rsidRDefault="00502E87" w:rsidP="00502E87">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502E87" w:rsidRPr="004E509D" w:rsidRDefault="00502E87" w:rsidP="00502E8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365"/>
        <w:gridCol w:w="5211"/>
      </w:tblGrid>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E85700" w:rsidRDefault="00502E87" w:rsidP="00407BF8">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502E87" w:rsidRPr="00E85700" w:rsidRDefault="00502E87" w:rsidP="00407BF8">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502E87" w:rsidRPr="004E509D" w:rsidTr="00407BF8">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502E87" w:rsidRPr="004E509D" w:rsidTr="00407BF8">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502E87" w:rsidRPr="004E509D" w:rsidTr="00407BF8">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502E87" w:rsidRPr="00F82F13" w:rsidRDefault="00502E87" w:rsidP="00502E87">
            <w:pPr>
              <w:pStyle w:val="Liste"/>
              <w:numPr>
                <w:ilvl w:val="0"/>
                <w:numId w:val="1"/>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L'élève a recours à des éléments figés et/ou mémorisés.</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502E87" w:rsidRPr="00D43C77" w:rsidRDefault="00502E87" w:rsidP="00407BF8">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502E87" w:rsidRPr="00E85700"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502E87" w:rsidRPr="00E85700"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502E87" w:rsidRPr="00E85700"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502E87" w:rsidRPr="00D43C77" w:rsidRDefault="00502E87" w:rsidP="00502E87">
            <w:pPr>
              <w:pStyle w:val="Liste"/>
              <w:numPr>
                <w:ilvl w:val="0"/>
                <w:numId w:val="1"/>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502E87" w:rsidRPr="004E509D" w:rsidRDefault="00502E87" w:rsidP="00502E87">
      <w:pPr>
        <w:widowControl w:val="0"/>
        <w:suppressAutoHyphens/>
        <w:spacing w:after="0" w:line="240" w:lineRule="auto"/>
        <w:rPr>
          <w:rFonts w:eastAsia="SimSun" w:cs="Calibri"/>
          <w:kern w:val="16"/>
          <w:sz w:val="20"/>
          <w:szCs w:val="20"/>
          <w:lang w:eastAsia="zh-CN" w:bidi="hi-IN"/>
        </w:rPr>
      </w:pPr>
    </w:p>
    <w:p w:rsidR="00502E87" w:rsidRPr="0049523A" w:rsidRDefault="00502E87" w:rsidP="00502E87">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502E87" w:rsidRDefault="00502E87" w:rsidP="00502E87">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365"/>
        <w:gridCol w:w="5211"/>
      </w:tblGrid>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502E87" w:rsidRPr="004E509D" w:rsidRDefault="00502E87" w:rsidP="00407BF8">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502E87" w:rsidRPr="004E509D" w:rsidTr="00407BF8">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02E87" w:rsidRPr="00E85700" w:rsidRDefault="00502E87" w:rsidP="00407BF8">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502E87" w:rsidRPr="00E85700" w:rsidRDefault="00502E87" w:rsidP="00407BF8">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502E87" w:rsidRPr="004E509D" w:rsidTr="00407BF8">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502E87" w:rsidRPr="004E509D" w:rsidTr="00407BF8">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502E87" w:rsidRPr="004E509D" w:rsidTr="00407BF8">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502E87" w:rsidRPr="00F82F13" w:rsidRDefault="00502E87" w:rsidP="00502E87">
            <w:pPr>
              <w:pStyle w:val="Liste"/>
              <w:numPr>
                <w:ilvl w:val="0"/>
                <w:numId w:val="1"/>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502E87" w:rsidRPr="00D43C77" w:rsidRDefault="00502E87" w:rsidP="00407BF8">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502E87" w:rsidRPr="005951A8" w:rsidTr="00407BF8">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5951A8" w:rsidRDefault="00502E87" w:rsidP="00407BF8">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502E87" w:rsidRPr="007132CD"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502E87" w:rsidRPr="007132CD"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502E87" w:rsidRPr="007132CD"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502E87" w:rsidRPr="007132CD" w:rsidRDefault="00502E87" w:rsidP="00502E87">
            <w:pPr>
              <w:pStyle w:val="Liste"/>
              <w:numPr>
                <w:ilvl w:val="0"/>
                <w:numId w:val="1"/>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502E87" w:rsidRPr="005951A8" w:rsidRDefault="00502E87" w:rsidP="00407BF8">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502E87" w:rsidRPr="004E509D" w:rsidRDefault="00502E87" w:rsidP="00502E87">
      <w:pPr>
        <w:widowControl w:val="0"/>
        <w:suppressAutoHyphens/>
        <w:spacing w:after="0" w:line="240" w:lineRule="auto"/>
        <w:rPr>
          <w:rFonts w:eastAsia="SimSun" w:cs="Calibri"/>
          <w:b/>
          <w:bCs/>
          <w:kern w:val="16"/>
          <w:sz w:val="20"/>
          <w:szCs w:val="20"/>
          <w:lang w:eastAsia="zh-CN" w:bidi="hi-IN"/>
        </w:rPr>
      </w:pPr>
    </w:p>
    <w:p w:rsidR="00502E87" w:rsidRPr="00A2350C" w:rsidRDefault="00502E87" w:rsidP="00502E87">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502E87" w:rsidRDefault="00502E87" w:rsidP="00502E87">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502E8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502E87" w:rsidRPr="004E509D" w:rsidRDefault="00502E87" w:rsidP="00502E8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502E87" w:rsidRPr="004E509D" w:rsidRDefault="00502E87" w:rsidP="00502E8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502E87" w:rsidRPr="004E509D" w:rsidRDefault="00502E87" w:rsidP="00502E87">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502E87" w:rsidRPr="004E509D" w:rsidRDefault="00502E87" w:rsidP="00502E87">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502E87" w:rsidRDefault="00502E87" w:rsidP="00502E8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502E87" w:rsidRDefault="00502E87" w:rsidP="00502E87">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3524"/>
        <w:gridCol w:w="3526"/>
        <w:gridCol w:w="3526"/>
      </w:tblGrid>
      <w:tr w:rsidR="00502E87" w:rsidRPr="004E509D" w:rsidTr="00407BF8">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502E87" w:rsidRPr="0049523A" w:rsidRDefault="00502E87" w:rsidP="00407BF8">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502E87" w:rsidRPr="004E509D" w:rsidRDefault="00502E87" w:rsidP="00407BF8">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502E87" w:rsidRPr="004E509D" w:rsidTr="00407BF8">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AC5877" w:rsidRDefault="00502E87" w:rsidP="00407BF8">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502E87" w:rsidRPr="004E509D" w:rsidRDefault="00502E87" w:rsidP="00407BF8">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502E87" w:rsidRPr="004E509D" w:rsidRDefault="00502E87" w:rsidP="00407BF8">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502E87" w:rsidRPr="004E509D" w:rsidRDefault="00502E87" w:rsidP="00407BF8">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502E87" w:rsidRPr="004E509D" w:rsidRDefault="00502E87" w:rsidP="00407BF8">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502E87" w:rsidRPr="00AC5877" w:rsidRDefault="00502E87" w:rsidP="00407BF8">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502E87" w:rsidRPr="004E509D" w:rsidRDefault="00502E87" w:rsidP="00407BF8">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502E87" w:rsidRDefault="00502E87" w:rsidP="00407BF8">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502E87" w:rsidRPr="004E509D" w:rsidRDefault="00502E87" w:rsidP="00407BF8">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502E87" w:rsidRPr="008D6D69" w:rsidRDefault="00502E87" w:rsidP="00407BF8">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502E87" w:rsidRPr="00AC5877" w:rsidRDefault="00502E87" w:rsidP="00407BF8">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502E87" w:rsidRPr="008D6D69"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502E87" w:rsidRPr="004E509D" w:rsidTr="00407BF8">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49523A" w:rsidRDefault="00502E87" w:rsidP="00407BF8">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502E87"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502E87"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502E87" w:rsidRPr="004E509D" w:rsidTr="00407BF8">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E87" w:rsidRPr="0049523A" w:rsidRDefault="00502E87" w:rsidP="00407BF8">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502E87"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502E87" w:rsidRDefault="00502E87" w:rsidP="00407BF8">
            <w:pPr>
              <w:widowControl w:val="0"/>
              <w:suppressLineNumbers/>
              <w:suppressAutoHyphens/>
              <w:spacing w:after="0" w:line="240" w:lineRule="auto"/>
              <w:jc w:val="both"/>
              <w:rPr>
                <w:rFonts w:eastAsia="SimSun" w:cs="Calibri"/>
                <w:kern w:val="16"/>
                <w:sz w:val="20"/>
                <w:szCs w:val="20"/>
                <w:lang w:eastAsia="zh-CN" w:bidi="hi-IN"/>
              </w:rPr>
            </w:pP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502E87" w:rsidRPr="004E509D" w:rsidRDefault="00502E87" w:rsidP="00407BF8">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502E87" w:rsidRPr="004E509D" w:rsidRDefault="00502E87" w:rsidP="00407BF8">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502E87" w:rsidRPr="00A2350C" w:rsidRDefault="00502E87" w:rsidP="00502E87">
      <w:pPr>
        <w:widowControl w:val="0"/>
        <w:suppressAutoHyphens/>
        <w:spacing w:after="0" w:line="240" w:lineRule="auto"/>
        <w:rPr>
          <w:rFonts w:cs="Calibri"/>
          <w:b/>
          <w:sz w:val="20"/>
          <w:szCs w:val="20"/>
          <w:lang w:eastAsia="zh-CN" w:bidi="hi-IN"/>
        </w:rPr>
      </w:pPr>
    </w:p>
    <w:p w:rsidR="00502E87" w:rsidRPr="00A2350C" w:rsidRDefault="00502E87" w:rsidP="00502E87">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502E87" w:rsidRPr="004E509D" w:rsidRDefault="00502E87" w:rsidP="00502E8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activités langagières en langue vivante étrangère et régionale sont l’occasion de poursuivre le travail de comparaison du </w:t>
      </w:r>
      <w:r w:rsidRPr="004E509D">
        <w:rPr>
          <w:rFonts w:eastAsia="SimSun" w:cs="Calibri"/>
          <w:kern w:val="16"/>
          <w:sz w:val="20"/>
          <w:szCs w:val="20"/>
          <w:lang w:eastAsia="zh-CN" w:bidi="hi-IN"/>
        </w:rPr>
        <w:lastRenderedPageBreak/>
        <w:t>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502E87" w:rsidRPr="004E509D" w:rsidRDefault="00502E87" w:rsidP="00502E8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502E87" w:rsidRDefault="00502E87" w:rsidP="00502E87">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502E87" w:rsidRDefault="00502E87" w:rsidP="00502E87">
      <w:pPr>
        <w:widowControl w:val="0"/>
        <w:suppressAutoHyphens/>
        <w:spacing w:after="0" w:line="240" w:lineRule="auto"/>
        <w:rPr>
          <w:rFonts w:eastAsia="SimSun" w:cs="Calibri"/>
          <w:kern w:val="16"/>
          <w:sz w:val="20"/>
          <w:szCs w:val="20"/>
          <w:lang w:eastAsia="zh-CN" w:bidi="hi-IN"/>
        </w:rPr>
      </w:pPr>
    </w:p>
    <w:p w:rsidR="008A20D4" w:rsidRDefault="008A20D4" w:rsidP="006C1117">
      <w:pPr>
        <w:ind w:left="-284" w:right="-307"/>
      </w:pPr>
    </w:p>
    <w:sectPr w:rsidR="008A20D4" w:rsidSect="00502E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utura-Book">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drawingGridHorizontalSpacing w:val="110"/>
  <w:displayHorizontalDrawingGridEvery w:val="2"/>
  <w:characterSpacingControl w:val="doNotCompress"/>
  <w:compat/>
  <w:rsids>
    <w:rsidRoot w:val="00502E87"/>
    <w:rsid w:val="00502E87"/>
    <w:rsid w:val="00577914"/>
    <w:rsid w:val="006C1117"/>
    <w:rsid w:val="008A20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8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qFormat/>
    <w:rsid w:val="00502E87"/>
    <w:pPr>
      <w:spacing w:after="0" w:line="240" w:lineRule="auto"/>
    </w:pPr>
    <w:rPr>
      <w:rFonts w:cs="Calibri"/>
      <w:b/>
      <w:color w:val="31849B"/>
      <w:sz w:val="32"/>
      <w:szCs w:val="32"/>
      <w:lang w:eastAsia="zh-CN" w:bidi="hi-IN"/>
    </w:rPr>
  </w:style>
  <w:style w:type="paragraph" w:styleId="Liste">
    <w:name w:val="List"/>
    <w:basedOn w:val="Normal"/>
    <w:uiPriority w:val="99"/>
    <w:unhideWhenUsed/>
    <w:rsid w:val="00502E87"/>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3435</Words>
  <Characters>18893</Characters>
  <Application>Microsoft Office Word</Application>
  <DocSecurity>0</DocSecurity>
  <Lines>157</Lines>
  <Paragraphs>44</Paragraphs>
  <ScaleCrop>false</ScaleCrop>
  <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2</cp:revision>
  <dcterms:created xsi:type="dcterms:W3CDTF">2016-02-15T15:26:00Z</dcterms:created>
  <dcterms:modified xsi:type="dcterms:W3CDTF">2016-02-15T15:28:00Z</dcterms:modified>
</cp:coreProperties>
</file>